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513657</w:t>
      </w:r>
      <w:bookmarkStart w:id="9" w:name="_GoBack"/>
      <w:bookmarkEnd w:id="9"/>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12.4</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RRM requirements for indirect 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indirect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Rel-19 study, f</w:t>
      </w:r>
      <w:r>
        <w:rPr>
          <w:rFonts w:hint="default" w:ascii="Times New Roman" w:hAnsi="Times New Roman" w:eastAsia="等线" w:cs="Times New Roman"/>
          <w:bCs/>
          <w:iCs/>
          <w:sz w:val="20"/>
          <w:szCs w:val="20"/>
          <w:lang w:val="en-US" w:eastAsia="zh-CN"/>
        </w:rPr>
        <w:t>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F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FFDA5D">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4B1F67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633D9FC">
            <w:pPr>
              <w:pStyle w:val="16"/>
              <w:numPr>
                <w:ilvl w:val="0"/>
                <w:numId w:val="6"/>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1F99E4E0">
            <w:pPr>
              <w:pStyle w:val="16"/>
              <w:numPr>
                <w:ilvl w:val="0"/>
                <w:numId w:val="6"/>
              </w:numPr>
              <w:overflowPunct/>
              <w:autoSpaceDE/>
              <w:autoSpaceDN/>
              <w:adjustRightInd/>
              <w:ind w:left="360"/>
              <w:textAlignment w:val="auto"/>
              <w:rPr>
                <w:rFonts w:hint="default" w:ascii="Times New Roman" w:hAnsi="Times New Roman" w:cs="Times New Roman"/>
                <w:b w:val="0"/>
                <w:bCs/>
                <w:sz w:val="20"/>
                <w:szCs w:val="20"/>
                <w:highlight w:val="none"/>
              </w:rPr>
            </w:pPr>
            <w:r>
              <w:rPr>
                <w:rFonts w:hint="default" w:ascii="Times New Roman" w:hAnsi="Times New Roman" w:cs="Times New Roman"/>
                <w:b w:val="0"/>
                <w:bCs/>
                <w:sz w:val="20"/>
                <w:szCs w:val="20"/>
                <w:highlight w:val="none"/>
              </w:rPr>
              <w:t>For direct measurement event prediction, the model output is the probability of event occurrence within a time window.</w:t>
            </w:r>
          </w:p>
          <w:p w14:paraId="3F6DFB72">
            <w:pPr>
              <w:pStyle w:val="15"/>
              <w:numPr>
                <w:ilvl w:val="0"/>
                <w:numId w:val="6"/>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727FCC13">
            <w:pPr>
              <w:pStyle w:val="15"/>
              <w:numPr>
                <w:ilvl w:val="0"/>
                <w:numId w:val="6"/>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12E4BDCF">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72ABF83E">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390C6175">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29DD90B">
            <w:pPr>
              <w:pStyle w:val="15"/>
              <w:numPr>
                <w:ilvl w:val="0"/>
                <w:numId w:val="7"/>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56C207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4897AE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4C183B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indirect event prediction, the requirements for the predicted event triggered reporting including, but not limited to, delay and accuracy requirements and the performance metrics are considered. In RAN4 Rel-19 study, it was agreed that in case of indirect measurement event prediction use case, if the report includes the predicted RSRPs corresponding to the predicted event occurrence time, the absolute and/or relative accuracy requirement for the predicted RSRP will be defined. This agreement is still valid for Rel-20 discussion. It is proposed to follow previous agreement to define requirement for the absolute and/or relative accuracy of predicted RSRP for indirect measurement event prediction use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DB22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RAN4#115 (R4-2508268)</w:t>
            </w:r>
          </w:p>
          <w:p w14:paraId="29F9DFB4">
            <w:pPr>
              <w:snapToGrid w:val="0"/>
              <w:spacing w:after="120"/>
              <w:rPr>
                <w:rFonts w:hint="default" w:ascii="Times New Roman" w:hAnsi="Times New Roman" w:cs="Times New Roman"/>
                <w:sz w:val="20"/>
                <w:szCs w:val="20"/>
                <w:highlight w:val="none"/>
                <w:lang w:val="sv-SE" w:eastAsia="zh-CN"/>
              </w:rPr>
            </w:pPr>
            <w:r>
              <w:rPr>
                <w:rFonts w:hint="default" w:ascii="Times New Roman" w:hAnsi="Times New Roman" w:cs="Times New Roman"/>
                <w:b/>
                <w:sz w:val="20"/>
                <w:szCs w:val="20"/>
                <w:highlight w:val="none"/>
                <w:u w:val="single"/>
              </w:rPr>
              <w:t>Issue 3-1: Performance metric for event prediction use case</w:t>
            </w:r>
          </w:p>
          <w:p w14:paraId="7A4A00C2">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B3454DF">
            <w:pPr>
              <w:snapToGrid w:val="0"/>
              <w:spacing w:before="100" w:beforeAutospacing="1" w:after="120"/>
              <w:rPr>
                <w:rFonts w:hint="default" w:ascii="Times New Roman" w:hAnsi="Times New Roman" w:eastAsia="MS Mincho" w:cs="Times New Roman"/>
                <w:b/>
                <w:bCs/>
                <w:sz w:val="20"/>
                <w:szCs w:val="20"/>
                <w:highlight w:val="none"/>
                <w:u w:val="single"/>
                <w:lang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14:paraId="5E780F8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highlight w:val="none"/>
                <w:vertAlign w:val="baseline"/>
                <w:lang w:val="en-US" w:eastAsia="zh-CN"/>
              </w:rPr>
            </w:pPr>
          </w:p>
        </w:tc>
      </w:tr>
    </w:tbl>
    <w:p w14:paraId="6CB9D5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7995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1AD67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temporal domain prediction case A, temporal domain prediction case B, and frequency domain prediction for co-located cases are considered. The definitions of indirect measurement event prediction in RAN2 is duplicated as below.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It can be seen that for indirect measurement event prediction, 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on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B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E142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220E8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3927E722">
            <w:pPr>
              <w:pStyle w:val="15"/>
              <w:ind w:left="363"/>
              <w:rPr>
                <w:rFonts w:hint="default" w:ascii="Times New Roman" w:hAnsi="Times New Roman" w:cs="Times New Roman"/>
                <w:sz w:val="20"/>
                <w:szCs w:val="20"/>
                <w:highlight w:val="none"/>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none"/>
              </w:rPr>
              <w:t xml:space="preserve">Agree to listed 4 definitions of indirect measurement event prediction </w:t>
            </w:r>
          </w:p>
          <w:p w14:paraId="5811E947">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A:</w:t>
            </w:r>
          </w:p>
          <w:p w14:paraId="6D88E76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B602A62">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B:</w:t>
            </w:r>
          </w:p>
          <w:p w14:paraId="74790DFE">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5834753A">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frequency domain:</w:t>
            </w:r>
          </w:p>
          <w:p w14:paraId="5E6D6ED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12AEBD63">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spatial domain:</w:t>
            </w:r>
          </w:p>
          <w:p w14:paraId="2CD763D4">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none"/>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none"/>
                <w:u w:val="single"/>
              </w:rPr>
              <w:t xml:space="preserve">and actual measurement results </w:t>
            </w:r>
            <w:r>
              <w:rPr>
                <w:rFonts w:hint="default" w:ascii="Times New Roman" w:hAnsi="Times New Roman" w:cs="Times New Roman"/>
                <w:sz w:val="20"/>
                <w:szCs w:val="20"/>
                <w:highlight w:val="none"/>
              </w:rPr>
              <w:t>are used to derive whether a measurement event at one time instance occurs, without further involvement of an AI/ML model</w:t>
            </w:r>
          </w:p>
          <w:p w14:paraId="641CA855">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43BB3EB3">
            <w:pPr>
              <w:pStyle w:val="15"/>
              <w:ind w:left="363"/>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tc>
      </w:tr>
    </w:tbl>
    <w:p w14:paraId="545AEF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79BA30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for the requirements for the absolute and/or relative accuracy of predicted RSRP, the conclusion for RRM measurement prediction can be reused.</w:t>
      </w:r>
    </w:p>
    <w:p w14:paraId="620F4D65">
      <w:pPr>
        <w:spacing w:after="180" w:line="240" w:lineRule="exact"/>
        <w:rPr>
          <w:rFonts w:hint="eastAsia"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The final output </w:t>
      </w:r>
      <w:r>
        <w:rPr>
          <w:rFonts w:hint="eastAsia" w:ascii="Times New Roman" w:hAnsi="Times New Roman" w:eastAsia="等线" w:cs="Times New Roman"/>
          <w:bCs/>
          <w:iCs/>
          <w:sz w:val="20"/>
          <w:szCs w:val="20"/>
          <w:lang w:val="en-US" w:eastAsia="zh-CN"/>
        </w:rPr>
        <w:t xml:space="preserve">for indirect measurement event prediction </w:t>
      </w:r>
      <w:r>
        <w:rPr>
          <w:rFonts w:hint="default" w:ascii="Times New Roman" w:hAnsi="Times New Roman" w:eastAsia="等线" w:cs="Times New Roman"/>
          <w:bCs/>
          <w:iCs/>
          <w:sz w:val="20"/>
          <w:szCs w:val="20"/>
          <w:lang w:val="en-US" w:eastAsia="zh-CN"/>
        </w:rPr>
        <w:t>is the expected occurrence time of a certain measurement event</w:t>
      </w:r>
      <w:r>
        <w:rPr>
          <w:rFonts w:hint="eastAsia" w:ascii="Times New Roman" w:hAnsi="Times New Roman" w:eastAsia="等线" w:cs="Times New Roman"/>
          <w:bCs/>
          <w:iCs/>
          <w:sz w:val="20"/>
          <w:szCs w:val="20"/>
          <w:lang w:val="en-US" w:eastAsia="zh-CN"/>
        </w:rPr>
        <w:t>. In legacy, there is no RAN4 requirements on the</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58045F7F">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3D81EE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There is discussion on impact of measurement error for event prediction use case in study phase, but there is no consensus.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99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4C42814">
            <w:pPr>
              <w:bidi w:val="0"/>
              <w:rPr>
                <w:rFonts w:hint="default" w:ascii="Times New Roman" w:hAnsi="Times New Roman" w:cs="Times New Roman"/>
                <w:b/>
                <w:bCs/>
                <w:sz w:val="20"/>
                <w:szCs w:val="20"/>
                <w:highlight w:val="none"/>
              </w:rPr>
            </w:pPr>
            <w:bookmarkStart w:id="8" w:name="_Hlk194652962"/>
            <w:r>
              <w:rPr>
                <w:rFonts w:hint="default" w:ascii="Times New Roman" w:hAnsi="Times New Roman" w:cs="Times New Roman"/>
                <w:b/>
                <w:bCs/>
                <w:sz w:val="20"/>
                <w:szCs w:val="20"/>
                <w:highlight w:val="none"/>
              </w:rPr>
              <w:t>Issue 3-2: Impact of measurement error for event prediction use case</w:t>
            </w:r>
          </w:p>
          <w:bookmarkEnd w:id="8"/>
          <w:p w14:paraId="54426A18">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Proposals and Observations:</w:t>
            </w:r>
          </w:p>
          <w:p w14:paraId="4B864142">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Proposal 1 (ZTE): Measurement error should be considered into measurement event prediction, which will impact the prediction accuracy.</w:t>
            </w:r>
          </w:p>
          <w:p w14:paraId="24C13CB0">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2 (CMCC): Whether measurement error is considered for event prediction use case can be considered case by case. </w:t>
            </w:r>
          </w:p>
          <w:p w14:paraId="40640DBD">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the conclusion on how to handle the measurement error for RRM prediction mode can be reused.</w:t>
            </w:r>
          </w:p>
          <w:p w14:paraId="43875882">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direct measurement event prediction, whether to consider the impact due to measurement error depends on the model input.</w:t>
            </w:r>
          </w:p>
          <w:p w14:paraId="69ACB5A1">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If the model input does not include measured RSRP, no need to consider measurement error. Otherwise, measurement error may have impact on prediction performance.</w:t>
            </w:r>
          </w:p>
          <w:p w14:paraId="47E6CB24">
            <w:pPr>
              <w:pStyle w:val="12"/>
              <w:numPr>
                <w:ilvl w:val="1"/>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Proposal 3 (Apple): </w:t>
            </w:r>
          </w:p>
          <w:p w14:paraId="4C512A7A">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RAN4 to discuss the modelling of measurement errors and their impact to evaluate AI/ML event prediction benefits compared to sample-and-hold and the impact to false detection of events (higher cost) </w:t>
            </w:r>
          </w:p>
          <w:p w14:paraId="1703FEC8">
            <w:pPr>
              <w:pStyle w:val="12"/>
              <w:numPr>
                <w:ilvl w:val="2"/>
                <w:numId w:val="8"/>
              </w:numPr>
              <w:spacing w:before="120"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For indirect measurement event prediction, RAN4 to discuss the modeling and impact of measurement errors to the prediction accuracy (i.e., F1 score)</w:t>
            </w:r>
          </w:p>
          <w:p w14:paraId="0BF5BCBB">
            <w:pPr>
              <w:pStyle w:val="12"/>
              <w:numPr>
                <w:ilvl w:val="2"/>
                <w:numId w:val="8"/>
              </w:numPr>
              <w:spacing w:before="120" w:after="120"/>
              <w:ind w:firstLineChars="0"/>
              <w:rPr>
                <w:rFonts w:hint="default" w:ascii="Times New Roman" w:hAnsi="Times New Roman" w:eastAsia="等线" w:cs="Times New Roman"/>
                <w:b/>
                <w:bCs w:val="0"/>
                <w:i/>
                <w:iCs w:val="0"/>
                <w:sz w:val="20"/>
                <w:szCs w:val="20"/>
                <w:highlight w:val="none"/>
                <w:vertAlign w:val="baseline"/>
                <w:lang w:val="en-US" w:eastAsia="zh-CN"/>
              </w:rPr>
            </w:pPr>
            <w:r>
              <w:rPr>
                <w:rFonts w:hint="default" w:ascii="Times New Roman" w:hAnsi="Times New Roman" w:eastAsia="Yu Mincho" w:cs="Times New Roman"/>
                <w:sz w:val="20"/>
                <w:szCs w:val="20"/>
                <w:highlight w:val="none"/>
              </w:rPr>
              <w:t>RAN4 to investigate modelling measurement errors as a function of SINR. This analysis must account for variations in propagation environments across serving and neighboring cells, as measurement errors are inherently influenced by cell-specific SINR conditions.</w:t>
            </w:r>
          </w:p>
        </w:tc>
      </w:tr>
    </w:tbl>
    <w:p w14:paraId="36CB8A42">
      <w:pPr>
        <w:spacing w:after="180" w:line="240" w:lineRule="exact"/>
        <w:rPr>
          <w:rFonts w:hint="default" w:ascii="Times New Roman" w:hAnsi="Times New Roman" w:eastAsia="等线" w:cs="Times New Roman"/>
          <w:b/>
          <w:bCs w:val="0"/>
          <w:i/>
          <w:iCs w:val="0"/>
          <w:sz w:val="20"/>
          <w:szCs w:val="20"/>
          <w:lang w:val="en-US" w:eastAsia="zh-CN"/>
        </w:rPr>
      </w:pPr>
    </w:p>
    <w:p w14:paraId="41C30CF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indirect measurement event prediction, future measurement result(s) is predicted by a RRM measurement prediction model for at first. Afterwards, predicted and optionally actual historical measurement result(s) are used to derive whether a measurement event at one future time instance occurs, without further involvement of an AI/ML model. It ca be seen that the AI/ML model is only used for RRM prediction, which means for indirect measurement event prediction, the conclusion on how to handle the measurement error for RRM prediction mode can be reused.  </w:t>
      </w:r>
    </w:p>
    <w:p w14:paraId="18C8D24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The impact of measurement error for measurement prediction are discussed in study phase. For both intra-frequency and inter-frequency prediction, RAN4 thinks RF and baseband errors on the measurements would impact the prediction accuracy. Due to limited timeline, RAN4 do not perform the simulation to evaluate the impact. But RAN4 discussed how to model the measurement error. And conclusion is that for BB error, use link level simulation to generate L3-RSRP difference as baseband error as baseline, for RF error model, use a truncated Gaussian distribution. </w:t>
      </w:r>
    </w:p>
    <w:p w14:paraId="57F264A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During the WI phase, to reduce work load, no need to perform the discussion on impact of measurement error for both RRM measurement prediction and measurement event prediction in parallel. As discussed above, considering that AI/ML model is only used to perform RRM prediction to </w:t>
      </w:r>
      <w:r>
        <w:rPr>
          <w:rFonts w:hint="default" w:ascii="Times New Roman" w:hAnsi="Times New Roman" w:cs="Times New Roman"/>
          <w:sz w:val="20"/>
          <w:szCs w:val="20"/>
          <w:highlight w:val="none"/>
        </w:rPr>
        <w:t>derive whether a measurement event at one future time instance occurs</w:t>
      </w:r>
      <w:r>
        <w:rPr>
          <w:rFonts w:hint="eastAsia" w:ascii="Times New Roman" w:hAnsi="Times New Roman" w:cs="Times New Roman"/>
          <w:sz w:val="20"/>
          <w:szCs w:val="20"/>
          <w:highlight w:val="none"/>
          <w:lang w:val="en-US" w:eastAsia="zh-CN"/>
        </w:rPr>
        <w:t xml:space="preserve">, </w:t>
      </w:r>
      <w:r>
        <w:rPr>
          <w:rFonts w:hint="eastAsia" w:ascii="Times New Roman" w:hAnsi="Times New Roman" w:eastAsia="等线"/>
          <w:bCs/>
          <w:iCs/>
          <w:sz w:val="20"/>
          <w:szCs w:val="20"/>
          <w:lang w:val="en-US" w:eastAsia="zh-CN"/>
        </w:rPr>
        <w:t xml:space="preserve">the conclusion on how to handle the measurement error for RRM prediction mode can be reused for measurement event prediction, it is proposed that RAN4 firstly evaluate the measurement error impact for RRM measurement prediction. </w:t>
      </w:r>
    </w:p>
    <w:p w14:paraId="6CB024B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indirect measurement event prediction, the conclusion on how to handle the measurement error for RRM prediction mode can be reused. RAN4 firstly focus on RRM measurement prediction to  discuss the impact due to measurement error.</w:t>
      </w:r>
    </w:p>
    <w:p w14:paraId="0465AA55">
      <w:pPr>
        <w:spacing w:after="180" w:line="240" w:lineRule="exact"/>
        <w:rPr>
          <w:rFonts w:hint="default" w:ascii="Times New Roman" w:hAnsi="Times New Roman" w:eastAsia="等线"/>
          <w:bCs/>
          <w:iCs/>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w:t>
      </w:r>
      <w:r>
        <w:rPr>
          <w:rFonts w:hint="eastAsia" w:ascii="Times New Roman" w:hAnsi="Times New Roman"/>
          <w:sz w:val="20"/>
          <w:szCs w:val="20"/>
          <w:lang w:val="en-US" w:eastAsia="zh-CN"/>
        </w:rPr>
        <w:t xml:space="preserve">indirect </w:t>
      </w:r>
      <w:r>
        <w:rPr>
          <w:rFonts w:hint="eastAsia" w:ascii="Times New Roman" w:hAnsi="Times New Roman" w:eastAsia="宋体"/>
          <w:sz w:val="20"/>
          <w:szCs w:val="20"/>
          <w:lang w:val="en-US" w:eastAsia="zh-CN"/>
        </w:rPr>
        <w:t>measurement event prediction</w:t>
      </w:r>
      <w:r>
        <w:rPr>
          <w:rFonts w:hint="eastAsia" w:ascii="Times New Roman" w:hAnsi="Times New Roman" w:eastAsia="宋体"/>
          <w:sz w:val="20"/>
          <w:szCs w:val="20"/>
        </w:rPr>
        <w:t>. The proposals are:</w:t>
      </w:r>
    </w:p>
    <w:p w14:paraId="54295B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0D7DB7B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for the requirements for the absolute and/or relative accuracy of predicted RSRP, the conclusion for RRM measurement prediction can be reused.</w:t>
      </w:r>
    </w:p>
    <w:p w14:paraId="2C52B0BC">
      <w:pPr>
        <w:spacing w:after="180" w:line="240" w:lineRule="exact"/>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3: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p w14:paraId="1D49EE3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indirect measurement event prediction, the conclusion on how to handle the measurement error for RRM prediction mode can be reused. RAN4 firstly focus on RRM measurement prediction to  discuss the impact due to measurement error.</w:t>
      </w:r>
    </w:p>
    <w:p w14:paraId="268D54C2">
      <w:pPr>
        <w:tabs>
          <w:tab w:val="left" w:pos="1134"/>
        </w:tabs>
        <w:spacing w:after="180" w:line="240" w:lineRule="exact"/>
        <w:rPr>
          <w:rFonts w:hint="eastAsia" w:ascii="Times New Roman" w:hAnsi="Times New Roman" w:eastAsia="宋体"/>
          <w:sz w:val="20"/>
          <w:szCs w:val="20"/>
        </w:rPr>
      </w:pPr>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3"/>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3EAD4D4A">
      <w:pPr>
        <w:pStyle w:val="13"/>
        <w:framePr w:wrap="auto" w:vAnchor="margin" w:hAnchor="text" w:yAlign="inline"/>
        <w:numPr>
          <w:ilvl w:val="0"/>
          <w:numId w:val="9"/>
        </w:numPr>
        <w:ind w:right="400"/>
        <w:jc w:val="both"/>
        <w:rPr>
          <w:rFonts w:ascii="Times" w:hAnsi="Times" w:eastAsia="宋体"/>
          <w:b w:val="0"/>
          <w:sz w:val="20"/>
          <w:lang w:eastAsia="zh-CN"/>
        </w:rPr>
      </w:pP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6"/>
  </w:num>
  <w:num w:numId="3">
    <w:abstractNumId w:val="2"/>
  </w:num>
  <w:num w:numId="4">
    <w:abstractNumId w:val="1"/>
  </w:num>
  <w:num w:numId="5">
    <w:abstractNumId w:val="8"/>
  </w:num>
  <w:num w:numId="6">
    <w:abstractNumId w:val="5"/>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5581271"/>
    <w:rsid w:val="05611098"/>
    <w:rsid w:val="05697CEB"/>
    <w:rsid w:val="0659725C"/>
    <w:rsid w:val="08320503"/>
    <w:rsid w:val="095F3199"/>
    <w:rsid w:val="09956AAF"/>
    <w:rsid w:val="0A632019"/>
    <w:rsid w:val="0AB2039C"/>
    <w:rsid w:val="0B8B7488"/>
    <w:rsid w:val="0DF05B97"/>
    <w:rsid w:val="0E3634E0"/>
    <w:rsid w:val="11144517"/>
    <w:rsid w:val="12E4180D"/>
    <w:rsid w:val="135132D0"/>
    <w:rsid w:val="13BE2E36"/>
    <w:rsid w:val="13D33102"/>
    <w:rsid w:val="13E54515"/>
    <w:rsid w:val="154B4C98"/>
    <w:rsid w:val="17C90DC6"/>
    <w:rsid w:val="192432CE"/>
    <w:rsid w:val="197233CD"/>
    <w:rsid w:val="1A015FF9"/>
    <w:rsid w:val="1E262080"/>
    <w:rsid w:val="1EA13FCF"/>
    <w:rsid w:val="208B1571"/>
    <w:rsid w:val="20A67B9D"/>
    <w:rsid w:val="219168A1"/>
    <w:rsid w:val="21B75A90"/>
    <w:rsid w:val="21F229A5"/>
    <w:rsid w:val="22F84732"/>
    <w:rsid w:val="285B47E1"/>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0D2F60"/>
    <w:rsid w:val="37E312B6"/>
    <w:rsid w:val="38022573"/>
    <w:rsid w:val="3850290E"/>
    <w:rsid w:val="39A706A6"/>
    <w:rsid w:val="3AF811CC"/>
    <w:rsid w:val="3FF257A0"/>
    <w:rsid w:val="40BA0E25"/>
    <w:rsid w:val="41597CC1"/>
    <w:rsid w:val="44ED5522"/>
    <w:rsid w:val="45251780"/>
    <w:rsid w:val="47D07441"/>
    <w:rsid w:val="486C7D0F"/>
    <w:rsid w:val="48765EF0"/>
    <w:rsid w:val="48BC1FC7"/>
    <w:rsid w:val="48BD345D"/>
    <w:rsid w:val="48C92824"/>
    <w:rsid w:val="4A924F66"/>
    <w:rsid w:val="4AAA7A11"/>
    <w:rsid w:val="4ADD1BB7"/>
    <w:rsid w:val="4ADE09B9"/>
    <w:rsid w:val="4BE84B88"/>
    <w:rsid w:val="4CA21BEA"/>
    <w:rsid w:val="4CB30463"/>
    <w:rsid w:val="4D0F52FA"/>
    <w:rsid w:val="4EED0FC5"/>
    <w:rsid w:val="4F01352B"/>
    <w:rsid w:val="50AC3D18"/>
    <w:rsid w:val="513A24D1"/>
    <w:rsid w:val="517D38BF"/>
    <w:rsid w:val="521A547C"/>
    <w:rsid w:val="539B5A3F"/>
    <w:rsid w:val="56582839"/>
    <w:rsid w:val="5798278D"/>
    <w:rsid w:val="59324E3B"/>
    <w:rsid w:val="595545B4"/>
    <w:rsid w:val="59A65848"/>
    <w:rsid w:val="5AAC5686"/>
    <w:rsid w:val="5C491F27"/>
    <w:rsid w:val="5CF63611"/>
    <w:rsid w:val="5E176D14"/>
    <w:rsid w:val="606210AF"/>
    <w:rsid w:val="617674D6"/>
    <w:rsid w:val="61D06D08"/>
    <w:rsid w:val="61DF3A9F"/>
    <w:rsid w:val="62E74204"/>
    <w:rsid w:val="652470FF"/>
    <w:rsid w:val="676E7F3D"/>
    <w:rsid w:val="67A4673A"/>
    <w:rsid w:val="6AFE6DF4"/>
    <w:rsid w:val="6B2F50E5"/>
    <w:rsid w:val="6C642F64"/>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CMCC-Jingjing</cp:lastModifiedBy>
  <dcterms:modified xsi:type="dcterms:W3CDTF">2025-10-02T02:14:07Z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